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5" w:rsidRPr="002B0FC5" w:rsidRDefault="002B0FC5" w:rsidP="002B0FC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bookmarkStart w:id="0" w:name="_GoBack"/>
      <w:bookmarkEnd w:id="0"/>
      <w:r w:rsidRPr="002B0FC5">
        <w:rPr>
          <w:rFonts w:ascii="Helvetica" w:eastAsia="Times New Roman" w:hAnsi="Helvetica" w:cs="Helvetica"/>
          <w:b/>
          <w:bCs/>
          <w:color w:val="0C0C0C"/>
          <w:sz w:val="28"/>
          <w:szCs w:val="28"/>
          <w:lang w:eastAsia="ru-RU"/>
        </w:rPr>
        <w:t>Приказ Министерства труда и социального развития Республики Саха (Якутия) от 11.03.2019г. №258-ОД</w:t>
      </w:r>
    </w:p>
    <w:p w:rsidR="002B0FC5" w:rsidRPr="002B0FC5" w:rsidRDefault="002B0FC5" w:rsidP="002B0FC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  <w:t> </w:t>
      </w:r>
    </w:p>
    <w:p w:rsidR="002B0FC5" w:rsidRPr="002B0FC5" w:rsidRDefault="002B0FC5" w:rsidP="002B0FC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Об утверждении Стандарта наполнения информационных стендов, посвященных вопросам противодействия коррупции</w:t>
      </w:r>
    </w:p>
    <w:p w:rsidR="002B0FC5" w:rsidRPr="002B0FC5" w:rsidRDefault="002B0FC5" w:rsidP="002B0FC5">
      <w:pPr>
        <w:spacing w:after="0" w:line="360" w:lineRule="atLeast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  <w:t> </w:t>
      </w:r>
    </w:p>
    <w:p w:rsidR="002B0FC5" w:rsidRPr="002B0FC5" w:rsidRDefault="002B0FC5" w:rsidP="002B0FC5">
      <w:pPr>
        <w:spacing w:after="0" w:line="360" w:lineRule="atLeast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  <w:t> </w:t>
      </w:r>
    </w:p>
    <w:p w:rsidR="002B0FC5" w:rsidRPr="002B0FC5" w:rsidRDefault="002B0FC5" w:rsidP="002B0FC5">
      <w:pPr>
        <w:spacing w:after="0" w:line="414" w:lineRule="atLeast"/>
        <w:ind w:firstLine="709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Во исполнение пункта 1.1. Плана просветительских мероприятий в Республике Саха (Якутия), направленных на создание в обществе нетерпимости к коррупционному поведению, на 2018 - 2020 годы, утвержденного распоряжением Главы Республики Саха (Якутия) от 20.11.2018 №959-</w:t>
      </w:r>
      <w:proofErr w:type="gramStart"/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РГ,   </w:t>
      </w:r>
      <w:proofErr w:type="gramEnd"/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       п р и к а з ы в а ю: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 Утвердить Стандарт наполнения информационных стендов, посвященных вопросам противодействия коррупции, размещаемых в доступных для граждан помещениях, с обязательным наличием следующих разделов: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1.1. основные понятия, используемые в законодательстве о противодействии коррупции;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1.2. обратная связь для сообщения о фактах коррупции;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1.3. локальные акты учреждения, принятые в сфере противодействия коррупции;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1.4. Кодекс этики и служебного поведения работников учреждения;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1.5. формы документов, связанных с противодействием коррупции.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2. Контроль исполнения приказа оставляю за собой.</w:t>
      </w:r>
    </w:p>
    <w:p w:rsidR="002B0FC5" w:rsidRPr="002B0FC5" w:rsidRDefault="002B0FC5" w:rsidP="002B0FC5">
      <w:pPr>
        <w:spacing w:after="0" w:line="540" w:lineRule="atLeast"/>
        <w:ind w:firstLine="709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  <w:t> </w:t>
      </w:r>
    </w:p>
    <w:p w:rsidR="002B0FC5" w:rsidRPr="002B0FC5" w:rsidRDefault="002B0FC5" w:rsidP="002B0FC5">
      <w:pPr>
        <w:spacing w:after="0" w:line="540" w:lineRule="atLeast"/>
        <w:ind w:firstLine="709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  <w:t> 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Министр</w:t>
      </w:r>
    </w:p>
    <w:p w:rsidR="002B0FC5" w:rsidRPr="002B0FC5" w:rsidRDefault="002B0FC5" w:rsidP="002B0FC5">
      <w:pPr>
        <w:spacing w:after="0" w:line="360" w:lineRule="atLeast"/>
        <w:jc w:val="both"/>
        <w:outlineLvl w:val="2"/>
        <w:rPr>
          <w:rFonts w:ascii="Helvetica" w:eastAsia="Times New Roman" w:hAnsi="Helvetica" w:cs="Helvetica"/>
          <w:color w:val="0C0C0C"/>
          <w:sz w:val="36"/>
          <w:szCs w:val="36"/>
          <w:lang w:eastAsia="ru-RU"/>
        </w:rPr>
      </w:pPr>
      <w:r w:rsidRPr="002B0FC5">
        <w:rPr>
          <w:rFonts w:ascii="Helvetica" w:eastAsia="Times New Roman" w:hAnsi="Helvetica" w:cs="Helvetica"/>
          <w:color w:val="0C0C0C"/>
          <w:sz w:val="28"/>
          <w:szCs w:val="28"/>
          <w:lang w:eastAsia="ru-RU"/>
        </w:rPr>
        <w:t>Е.А. Волкова</w:t>
      </w:r>
    </w:p>
    <w:p w:rsidR="007F5D5F" w:rsidRDefault="007F5D5F"/>
    <w:sectPr w:rsidR="007F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8"/>
    <w:rsid w:val="002B0FC5"/>
    <w:rsid w:val="007F5D5F"/>
    <w:rsid w:val="009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3B0C-0D2D-4B3B-9E3E-22C66AB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2022-11-11T02:41:00Z</dcterms:created>
  <dcterms:modified xsi:type="dcterms:W3CDTF">2022-11-11T02:41:00Z</dcterms:modified>
</cp:coreProperties>
</file>